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69" w:rsidRDefault="00B76969" w:rsidP="00B76969">
      <w:pPr>
        <w:pStyle w:val="NormalWeb"/>
        <w:spacing w:before="120" w:beforeAutospacing="0" w:after="120" w:afterAutospacing="0" w:line="320" w:lineRule="exact"/>
        <w:ind w:firstLine="562"/>
        <w:jc w:val="center"/>
        <w:rPr>
          <w:b/>
          <w:bCs/>
          <w:sz w:val="44"/>
          <w:szCs w:val="44"/>
        </w:rPr>
      </w:pPr>
      <w:bookmarkStart w:id="0" w:name="_Hlk93474990"/>
      <w:r>
        <w:rPr>
          <w:b/>
          <w:bCs/>
          <w:sz w:val="44"/>
          <w:szCs w:val="44"/>
        </w:rPr>
        <w:t>TIN PHÁT THANH SỐ 14</w:t>
      </w:r>
    </w:p>
    <w:p w:rsidR="00B76969" w:rsidRDefault="00B76969" w:rsidP="00B76969">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bookmarkEnd w:id="0"/>
    <w:p w:rsidR="00B76969" w:rsidRDefault="00B76969" w:rsidP="00B76969">
      <w:pPr>
        <w:pStyle w:val="NormalWeb"/>
        <w:spacing w:before="120" w:beforeAutospacing="0" w:after="120" w:afterAutospacing="0" w:line="320" w:lineRule="exact"/>
        <w:ind w:firstLine="562"/>
        <w:jc w:val="center"/>
        <w:rPr>
          <w:b/>
          <w:bCs/>
          <w:sz w:val="28"/>
          <w:szCs w:val="28"/>
        </w:rPr>
      </w:pPr>
      <w:r>
        <w:rPr>
          <w:b/>
          <w:bCs/>
          <w:sz w:val="28"/>
          <w:szCs w:val="28"/>
        </w:rPr>
        <w:t>CẤP GIẤY CHỨNG NHẬN QUYỀN SỬ DỤNG ĐẤT</w:t>
      </w:r>
    </w:p>
    <w:p w:rsidR="00B76969" w:rsidRDefault="00B76969" w:rsidP="00B76969">
      <w:pPr>
        <w:pStyle w:val="NormalWeb"/>
        <w:spacing w:before="120" w:beforeAutospacing="0" w:after="120" w:afterAutospacing="0" w:line="320" w:lineRule="exact"/>
        <w:ind w:firstLine="562"/>
        <w:jc w:val="both"/>
        <w:rPr>
          <w:b/>
          <w:bCs/>
          <w:sz w:val="28"/>
          <w:szCs w:val="28"/>
        </w:rPr>
      </w:pPr>
    </w:p>
    <w:p w:rsidR="00B76969" w:rsidRDefault="00B76969" w:rsidP="00B76969">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xác định diện tích đất ở đối với trường hợp có vườn, ao?</w:t>
      </w:r>
    </w:p>
    <w:p w:rsidR="00B76969" w:rsidRDefault="00B76969" w:rsidP="00B76969">
      <w:pPr>
        <w:pStyle w:val="NormalWeb"/>
        <w:spacing w:before="120" w:beforeAutospacing="0" w:after="120" w:afterAutospacing="0" w:line="320" w:lineRule="exact"/>
        <w:ind w:firstLine="562"/>
        <w:jc w:val="both"/>
        <w:rPr>
          <w:sz w:val="28"/>
          <w:szCs w:val="28"/>
        </w:rPr>
      </w:pPr>
      <w:r>
        <w:rPr>
          <w:b/>
          <w:bCs/>
          <w:sz w:val="28"/>
          <w:szCs w:val="28"/>
        </w:rPr>
        <w:t>Trả lời:</w:t>
      </w:r>
    </w:p>
    <w:p w:rsidR="00B76969" w:rsidRDefault="00B76969" w:rsidP="00B76969">
      <w:pPr>
        <w:pStyle w:val="NormalWeb"/>
        <w:spacing w:before="120" w:beforeAutospacing="0" w:after="120" w:afterAutospacing="0" w:line="320" w:lineRule="exact"/>
        <w:ind w:firstLine="562"/>
        <w:jc w:val="both"/>
        <w:rPr>
          <w:sz w:val="28"/>
          <w:szCs w:val="28"/>
        </w:rPr>
      </w:pPr>
      <w:bookmarkStart w:id="1" w:name="_Toc347232182"/>
      <w:bookmarkStart w:id="2" w:name="_Toc345666080"/>
      <w:bookmarkEnd w:id="1"/>
      <w:bookmarkEnd w:id="2"/>
      <w:r>
        <w:rPr>
          <w:sz w:val="28"/>
          <w:szCs w:val="28"/>
        </w:rPr>
        <w:t>1. Đất vườn, ao của hộ gia đình, cá nhân được xác định là đất ở phải trong cùng một thửa đất đang có nhà ở.</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Đất đai năm 2013 thì diện tích đất ở được xác định theo giấy tờ đó.</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Trường hợp trong các loại giấy tờ về quyền sử dụng đất quy định tại các khoản 1, 2 và 3 Điều 100 của Luật Đất đai năm 2013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Đất đai năm 2013.</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Đất đai năm 2013 mà trong giấy tờ đó ghi rõ diện tích đất ở thì diện tích đất ở được xác định theo giấy tờ đó.</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Đất đai năm 2013 mà trong giấy tờ đó không ghi rõ diện tích đất ở thì diện tích đất ở được xác định như sau:</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a) Ủy ban nhân dân cấp tỉnh căn cứ vào điều kiện, tập quán tại địa phương quy định hạn mức công nhận đất ở cho mỗi hộ gia đình phù hợp với tập quán ở địa phương </w:t>
      </w:r>
      <w:proofErr w:type="gramStart"/>
      <w:r>
        <w:rPr>
          <w:sz w:val="28"/>
          <w:szCs w:val="28"/>
        </w:rPr>
        <w:t>theo</w:t>
      </w:r>
      <w:proofErr w:type="gramEnd"/>
      <w:r>
        <w:rPr>
          <w:sz w:val="28"/>
          <w:szCs w:val="28"/>
        </w:rPr>
        <w:t xml:space="preserve"> số lượng nhân khẩu trong hộ gia đình;</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b) Trường hợp diện tích thửa đất lớn hơn hạn mức công nhận đất ở tại địa phương thì diện tích đất ở được xác định bằng hạn mức công nhận đất ở tại địa phương;</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c) Trường hợp diện tích thửa đất nhỏ hơn hạn mức công nhận đất ở tại địa phương thì diện tích đất ở được xác định là toàn bộ diện tích thửa đất.</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5. Đối với trường hợp không có giấy tờ về quyền sử dụng đất quy định tại Điều 100 của Luật Đất đai năm 2013 mà đất đã sử dụng ổn định từ trước ngày 15 tháng 10 năm 1993 thì diện tích đất ở được xác định theo mức quy định tại </w:t>
      </w:r>
      <w:r>
        <w:rPr>
          <w:sz w:val="28"/>
          <w:szCs w:val="28"/>
        </w:rPr>
        <w:lastRenderedPageBreak/>
        <w:t>khoản 4 Điều này;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Đất đai năm 2013.</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6. Phần diện tích đất vườn, ao còn lại sau khi đã xác định diện tích đất ở theo quy định tại các khoản 2, 3, 4 và 5 của Điều 103 thì được xác định sử dụng vào mục đích hiện trạng đang sử dụng theo quy định tại khoản 1 Điều 10 của Luật Đất đai năm 2013.</w:t>
      </w:r>
    </w:p>
    <w:p w:rsidR="00B76969" w:rsidRDefault="00B76969" w:rsidP="00B76969">
      <w:pPr>
        <w:pStyle w:val="NormalWeb"/>
        <w:spacing w:before="120" w:beforeAutospacing="0" w:after="120" w:afterAutospacing="0" w:line="320" w:lineRule="exact"/>
        <w:ind w:firstLine="562"/>
        <w:jc w:val="both"/>
        <w:rPr>
          <w:b/>
          <w:bCs/>
          <w:sz w:val="28"/>
          <w:szCs w:val="28"/>
        </w:rPr>
      </w:pPr>
      <w:bookmarkStart w:id="3" w:name="dieu_104"/>
      <w:bookmarkStart w:id="4" w:name="_Toc353192043"/>
      <w:bookmarkStart w:id="5" w:name="_Toc373262812"/>
      <w:bookmarkStart w:id="6" w:name="_Toc368432206"/>
      <w:bookmarkStart w:id="7" w:name="_Toc368431044"/>
      <w:bookmarkStart w:id="8" w:name="_Toc368430163"/>
      <w:bookmarkStart w:id="9" w:name="_Toc368429571"/>
      <w:bookmarkStart w:id="10" w:name="_Toc368428621"/>
      <w:bookmarkStart w:id="11" w:name="_Toc366230818"/>
      <w:bookmarkStart w:id="12" w:name="_Toc353530426"/>
      <w:bookmarkStart w:id="13" w:name="_Toc353529566"/>
      <w:bookmarkStart w:id="14" w:name="_Toc353268415"/>
      <w:bookmarkStart w:id="15" w:name="_Toc353202353"/>
      <w:bookmarkStart w:id="16" w:name="_Toc353198520"/>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8"/>
          <w:szCs w:val="28"/>
        </w:rPr>
        <w:t>Hỏi: Xin cho biết quy định về cấp Giấy chứng nhận đối với tài sản gắn liền với đất?</w:t>
      </w:r>
    </w:p>
    <w:p w:rsidR="00B76969" w:rsidRDefault="00B76969" w:rsidP="00B76969">
      <w:pPr>
        <w:pStyle w:val="NormalWeb"/>
        <w:spacing w:before="120" w:beforeAutospacing="0" w:after="120" w:afterAutospacing="0" w:line="320" w:lineRule="exact"/>
        <w:ind w:firstLine="562"/>
        <w:jc w:val="both"/>
        <w:rPr>
          <w:sz w:val="28"/>
          <w:szCs w:val="28"/>
        </w:rPr>
      </w:pPr>
      <w:r>
        <w:rPr>
          <w:b/>
          <w:bCs/>
          <w:sz w:val="28"/>
          <w:szCs w:val="28"/>
        </w:rPr>
        <w:t>Trả lời:</w:t>
      </w:r>
    </w:p>
    <w:p w:rsidR="00B76969" w:rsidRDefault="00B76969" w:rsidP="00B76969">
      <w:pPr>
        <w:pStyle w:val="NormalWeb"/>
        <w:spacing w:before="120" w:beforeAutospacing="0" w:after="120" w:afterAutospacing="0" w:line="320" w:lineRule="exact"/>
        <w:ind w:firstLine="562"/>
        <w:jc w:val="both"/>
        <w:rPr>
          <w:sz w:val="28"/>
          <w:szCs w:val="28"/>
        </w:rPr>
      </w:pPr>
      <w:bookmarkStart w:id="17" w:name="_Toc347232183"/>
      <w:bookmarkStart w:id="18" w:name="_Toc345666081"/>
      <w:bookmarkEnd w:id="17"/>
      <w:bookmarkEnd w:id="18"/>
      <w:r>
        <w:rPr>
          <w:sz w:val="28"/>
          <w:szCs w:val="28"/>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2. Việc cấp Giấy chứng nhận quyền sử dụng đất, quyền sở hữu nhà ở và tài sản khác gắn liền với đất đối với tài sản gắn liền với đất thực hiện </w:t>
      </w:r>
      <w:proofErr w:type="gramStart"/>
      <w:r>
        <w:rPr>
          <w:sz w:val="28"/>
          <w:szCs w:val="28"/>
        </w:rPr>
        <w:t>theo</w:t>
      </w:r>
      <w:proofErr w:type="gramEnd"/>
      <w:r>
        <w:rPr>
          <w:sz w:val="28"/>
          <w:szCs w:val="28"/>
        </w:rPr>
        <w:t xml:space="preserve"> quy định của Chính phủ.</w:t>
      </w:r>
    </w:p>
    <w:p w:rsidR="00B76969" w:rsidRDefault="00B76969" w:rsidP="00B76969">
      <w:pPr>
        <w:pStyle w:val="NormalWeb"/>
        <w:spacing w:before="120" w:beforeAutospacing="0" w:after="120" w:afterAutospacing="0" w:line="320" w:lineRule="exact"/>
        <w:ind w:firstLine="562"/>
        <w:jc w:val="both"/>
        <w:rPr>
          <w:b/>
          <w:bCs/>
          <w:sz w:val="28"/>
          <w:szCs w:val="28"/>
        </w:rPr>
      </w:pPr>
      <w:bookmarkStart w:id="19" w:name="dieu_105"/>
      <w:bookmarkStart w:id="20" w:name="_Toc353192044"/>
      <w:bookmarkStart w:id="21" w:name="_Toc373262813"/>
      <w:bookmarkStart w:id="22" w:name="_Toc368432207"/>
      <w:bookmarkStart w:id="23" w:name="_Toc368431045"/>
      <w:bookmarkStart w:id="24" w:name="_Toc368430164"/>
      <w:bookmarkStart w:id="25" w:name="_Toc368429572"/>
      <w:bookmarkStart w:id="26" w:name="_Toc368428622"/>
      <w:bookmarkStart w:id="27" w:name="_Toc366230819"/>
      <w:bookmarkStart w:id="28" w:name="_Toc353530427"/>
      <w:bookmarkStart w:id="29" w:name="_Toc353529567"/>
      <w:bookmarkStart w:id="30" w:name="_Toc353268416"/>
      <w:bookmarkStart w:id="31" w:name="_Toc353202354"/>
      <w:bookmarkStart w:id="32" w:name="_Toc353198521"/>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Hỏi: Thẩm quyền cấp Giấy chứng nhận quyền sử dụng đất, quyền sở hữu nhà ở và tài sản khác gắn liền với đất được quy định như thế nào?</w:t>
      </w:r>
    </w:p>
    <w:p w:rsidR="00B76969" w:rsidRDefault="00B76969" w:rsidP="00B76969">
      <w:pPr>
        <w:pStyle w:val="NormalWeb"/>
        <w:spacing w:before="120" w:beforeAutospacing="0" w:after="120" w:afterAutospacing="0" w:line="320" w:lineRule="exact"/>
        <w:ind w:firstLine="562"/>
        <w:jc w:val="both"/>
        <w:rPr>
          <w:sz w:val="28"/>
          <w:szCs w:val="28"/>
        </w:rPr>
      </w:pPr>
      <w:r>
        <w:rPr>
          <w:b/>
          <w:bCs/>
          <w:sz w:val="28"/>
          <w:szCs w:val="28"/>
        </w:rPr>
        <w:t>Trả lời:</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Ủy ban nhân dân cấp tỉnh được ủy quyền cho cơ quan tài nguyên và môi trường cùng cấp cấp Giấy chứng nhận quyền sử dụng đất, quyền sở hữu nhà ở và tài sản khác gắn liền với đất.</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B76969" w:rsidRDefault="00B76969" w:rsidP="00B76969">
      <w:pPr>
        <w:pStyle w:val="NormalWeb"/>
        <w:spacing w:before="120" w:beforeAutospacing="0" w:after="120" w:afterAutospacing="0" w:line="320" w:lineRule="exact"/>
        <w:ind w:firstLine="562"/>
        <w:jc w:val="both"/>
        <w:rPr>
          <w:b/>
          <w:bCs/>
          <w:sz w:val="28"/>
          <w:szCs w:val="28"/>
        </w:rPr>
      </w:pPr>
      <w:bookmarkStart w:id="33" w:name="dieu_106"/>
      <w:bookmarkStart w:id="34" w:name="_Toc366230820"/>
      <w:bookmarkStart w:id="35" w:name="_Toc373262814"/>
      <w:bookmarkStart w:id="36" w:name="_Toc368432208"/>
      <w:bookmarkStart w:id="37" w:name="_Toc368431046"/>
      <w:bookmarkStart w:id="38" w:name="_Toc368430165"/>
      <w:bookmarkStart w:id="39" w:name="_Toc368429573"/>
      <w:bookmarkStart w:id="40" w:name="_Toc368428623"/>
      <w:bookmarkEnd w:id="33"/>
      <w:bookmarkEnd w:id="34"/>
      <w:bookmarkEnd w:id="35"/>
      <w:bookmarkEnd w:id="36"/>
      <w:bookmarkEnd w:id="37"/>
      <w:bookmarkEnd w:id="38"/>
      <w:bookmarkEnd w:id="39"/>
      <w:bookmarkEnd w:id="40"/>
      <w:r>
        <w:rPr>
          <w:b/>
          <w:bCs/>
          <w:sz w:val="28"/>
          <w:szCs w:val="28"/>
        </w:rPr>
        <w:t xml:space="preserve">Hỏi: Xin cho biết quy định về đính chính, </w:t>
      </w:r>
      <w:proofErr w:type="gramStart"/>
      <w:r>
        <w:rPr>
          <w:b/>
          <w:bCs/>
          <w:sz w:val="28"/>
          <w:szCs w:val="28"/>
        </w:rPr>
        <w:t>thu</w:t>
      </w:r>
      <w:proofErr w:type="gramEnd"/>
      <w:r>
        <w:rPr>
          <w:b/>
          <w:bCs/>
          <w:sz w:val="28"/>
          <w:szCs w:val="28"/>
        </w:rPr>
        <w:t xml:space="preserve"> hồi Giấy chứng nhận đã cấp?</w:t>
      </w:r>
    </w:p>
    <w:p w:rsidR="00B76969" w:rsidRDefault="00B76969" w:rsidP="00B76969">
      <w:pPr>
        <w:pStyle w:val="NormalWeb"/>
        <w:spacing w:before="120" w:beforeAutospacing="0" w:after="120" w:afterAutospacing="0" w:line="320" w:lineRule="exact"/>
        <w:ind w:firstLine="562"/>
        <w:jc w:val="both"/>
        <w:rPr>
          <w:sz w:val="28"/>
          <w:szCs w:val="28"/>
        </w:rPr>
      </w:pPr>
      <w:r>
        <w:rPr>
          <w:b/>
          <w:bCs/>
          <w:sz w:val="28"/>
          <w:szCs w:val="28"/>
        </w:rPr>
        <w:lastRenderedPageBreak/>
        <w:t>Trả lời:</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1. Cơ quan có thẩm quyền cấp Giấy chứng nhận có trách nhiệm đính chính Giấy chứng nhận đã cấp có sai sót trong các trường hợp sau đây:</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b) Có sai sót thông tin về thửa đất, tài sản gắn liền với đất so với hồ sơ kê khai đăng ký đất </w:t>
      </w:r>
      <w:proofErr w:type="gramStart"/>
      <w:r>
        <w:rPr>
          <w:sz w:val="28"/>
          <w:szCs w:val="28"/>
        </w:rPr>
        <w:t>đai</w:t>
      </w:r>
      <w:proofErr w:type="gramEnd"/>
      <w:r>
        <w:rPr>
          <w:sz w:val="28"/>
          <w:szCs w:val="28"/>
        </w:rPr>
        <w:t>, tài sản gắn liền với đất đã được cơ quan đăng ký đất đai kiểm tra xác nhận.</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2. Nhà nước </w:t>
      </w:r>
      <w:proofErr w:type="gramStart"/>
      <w:r>
        <w:rPr>
          <w:sz w:val="28"/>
          <w:szCs w:val="28"/>
        </w:rPr>
        <w:t>thu</w:t>
      </w:r>
      <w:proofErr w:type="gramEnd"/>
      <w:r>
        <w:rPr>
          <w:sz w:val="28"/>
          <w:szCs w:val="28"/>
        </w:rPr>
        <w:t xml:space="preserve"> hồi Giấy chứng nhận đã cấp trong các trường hợp sau đây:</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a) Nhà nước </w:t>
      </w:r>
      <w:proofErr w:type="gramStart"/>
      <w:r>
        <w:rPr>
          <w:sz w:val="28"/>
          <w:szCs w:val="28"/>
        </w:rPr>
        <w:t>thu</w:t>
      </w:r>
      <w:proofErr w:type="gramEnd"/>
      <w:r>
        <w:rPr>
          <w:sz w:val="28"/>
          <w:szCs w:val="28"/>
        </w:rPr>
        <w:t xml:space="preserve"> hồi toàn bộ diện tích đất trên Giấy chứng nhận đã cấp;</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b) Cấp đổi Giấy chứng nhận đã cấp;</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 xml:space="preserve">c) Người sử dụng đất, chủ sở hữu tài sản gắn liền với đất đăng ký biến động đất </w:t>
      </w:r>
      <w:proofErr w:type="gramStart"/>
      <w:r>
        <w:rPr>
          <w:sz w:val="28"/>
          <w:szCs w:val="28"/>
        </w:rPr>
        <w:t>đai</w:t>
      </w:r>
      <w:proofErr w:type="gramEnd"/>
      <w:r>
        <w:rPr>
          <w:sz w:val="28"/>
          <w:szCs w:val="28"/>
        </w:rPr>
        <w:t>, tài sản gắn liền với đất mà phải cấp mới Giấy chứng nhận quyền sử dụng đất, quyền sở hữu nhà ở và tài sản khác gắn liền với đất;</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B76969" w:rsidRDefault="00B76969" w:rsidP="00B76969">
      <w:pPr>
        <w:pStyle w:val="NormalWeb"/>
        <w:spacing w:before="120" w:beforeAutospacing="0" w:after="120" w:afterAutospacing="0" w:line="320" w:lineRule="exact"/>
        <w:ind w:firstLine="562"/>
        <w:jc w:val="both"/>
        <w:rPr>
          <w:sz w:val="28"/>
          <w:szCs w:val="28"/>
        </w:rPr>
      </w:pPr>
      <w:r>
        <w:rPr>
          <w:sz w:val="28"/>
          <w:szCs w:val="28"/>
        </w:rPr>
        <w:t>3. Việc thu hồi Giấy chứng nhận đã cấp đối với trường hợp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 do cơ quan có thẩm quyền cấp Giấy chứng nhận quyền sử dụng đất, quyền sở hữu nhà ở và tài sản khác gắn liền với đất quy định tại Điều 105 của Luật Đất đai năm 2013 quyết định sau khi đã có kết luận của cơ quan thanh tra cùng cấp, văn bản có hiệu lực của cơ quan nhà nước có thẩm quyền về giải quyết tranh chấp đất đai./.</w:t>
      </w:r>
    </w:p>
    <w:p w:rsidR="00B76969" w:rsidRDefault="00B76969" w:rsidP="00B76969">
      <w:pPr>
        <w:pStyle w:val="NormalWeb"/>
        <w:spacing w:before="120" w:beforeAutospacing="0" w:after="120" w:afterAutospacing="0" w:line="320" w:lineRule="exact"/>
        <w:ind w:firstLine="562"/>
        <w:jc w:val="center"/>
        <w:rPr>
          <w:b/>
          <w:bCs/>
          <w:sz w:val="28"/>
          <w:szCs w:val="28"/>
        </w:rPr>
      </w:pPr>
      <w:r>
        <w:rPr>
          <w:b/>
          <w:bCs/>
          <w:sz w:val="28"/>
          <w:szCs w:val="28"/>
        </w:rPr>
        <w:t>SỞ TƯ PHÁP TỈNH BẮC NINH</w:t>
      </w:r>
    </w:p>
    <w:p w:rsidR="00B76969" w:rsidRDefault="00B76969" w:rsidP="00B76969"/>
    <w:p w:rsidR="00E73AB1" w:rsidRDefault="00E73AB1">
      <w:bookmarkStart w:id="41" w:name="_GoBack"/>
      <w:bookmarkEnd w:id="41"/>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69"/>
    <w:rsid w:val="00105488"/>
    <w:rsid w:val="006D0430"/>
    <w:rsid w:val="00B76969"/>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6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69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6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6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2022-03-03T03:40:00Z</dcterms:created>
  <dcterms:modified xsi:type="dcterms:W3CDTF">2022-03-03T03:41:00Z</dcterms:modified>
</cp:coreProperties>
</file>